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41B60" w14:textId="77777777" w:rsidR="00A62B56" w:rsidRDefault="00A62B56" w:rsidP="00AC498A">
      <w:pPr>
        <w:pStyle w:val="Text"/>
        <w:jc w:val="both"/>
        <w:rPr>
          <w:b/>
          <w:sz w:val="24"/>
          <w:szCs w:val="24"/>
        </w:rPr>
      </w:pPr>
      <w:bookmarkStart w:id="0" w:name="_GoBack"/>
      <w:bookmarkEnd w:id="0"/>
    </w:p>
    <w:p w14:paraId="46AAFA7B" w14:textId="00DDE81C" w:rsidR="00BA0C60" w:rsidRDefault="00BA0C60" w:rsidP="00AC498A">
      <w:pPr>
        <w:pStyle w:val="Text"/>
        <w:jc w:val="both"/>
        <w:rPr>
          <w:b/>
          <w:sz w:val="24"/>
          <w:szCs w:val="24"/>
        </w:rPr>
      </w:pPr>
      <w:r>
        <w:rPr>
          <w:b/>
          <w:sz w:val="24"/>
          <w:szCs w:val="24"/>
        </w:rPr>
        <w:t>Tax strategy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31 March 20</w:t>
      </w:r>
      <w:r w:rsidR="00914A13">
        <w:rPr>
          <w:b/>
          <w:sz w:val="24"/>
          <w:szCs w:val="24"/>
        </w:rPr>
        <w:t>2</w:t>
      </w:r>
      <w:r w:rsidR="005F7943">
        <w:rPr>
          <w:b/>
          <w:sz w:val="24"/>
          <w:szCs w:val="24"/>
        </w:rPr>
        <w:t>6</w:t>
      </w:r>
    </w:p>
    <w:p w14:paraId="28581AE6" w14:textId="77777777" w:rsidR="00BA0C60" w:rsidRDefault="00BA0C60" w:rsidP="00AC498A">
      <w:pPr>
        <w:pStyle w:val="Text"/>
        <w:jc w:val="both"/>
        <w:rPr>
          <w:b/>
          <w:sz w:val="24"/>
          <w:szCs w:val="24"/>
        </w:rPr>
      </w:pPr>
      <w:r>
        <w:rPr>
          <w:b/>
          <w:sz w:val="24"/>
          <w:szCs w:val="24"/>
        </w:rPr>
        <w:t xml:space="preserve">Anglo Beef Processors </w:t>
      </w:r>
      <w:r w:rsidR="00856392">
        <w:rPr>
          <w:b/>
          <w:sz w:val="24"/>
          <w:szCs w:val="24"/>
        </w:rPr>
        <w:t>UK Group</w:t>
      </w:r>
    </w:p>
    <w:p w14:paraId="570CB7B4" w14:textId="77777777" w:rsidR="002F7D09" w:rsidRDefault="002F7D09" w:rsidP="00AC498A">
      <w:pPr>
        <w:pStyle w:val="Text"/>
        <w:jc w:val="both"/>
        <w:rPr>
          <w:b/>
          <w:szCs w:val="22"/>
        </w:rPr>
      </w:pPr>
      <w:r>
        <w:rPr>
          <w:b/>
          <w:szCs w:val="22"/>
        </w:rPr>
        <w:t>Scope</w:t>
      </w:r>
    </w:p>
    <w:p w14:paraId="1DF05F8A" w14:textId="35FF24AB" w:rsidR="002F7D09" w:rsidRDefault="008344F1" w:rsidP="00AC498A">
      <w:pPr>
        <w:pStyle w:val="Text"/>
        <w:jc w:val="both"/>
        <w:rPr>
          <w:szCs w:val="22"/>
        </w:rPr>
      </w:pPr>
      <w:r>
        <w:rPr>
          <w:szCs w:val="22"/>
        </w:rPr>
        <w:t xml:space="preserve">This strategy applies to </w:t>
      </w:r>
      <w:r w:rsidR="00DF29F4">
        <w:rPr>
          <w:szCs w:val="22"/>
        </w:rPr>
        <w:t>UK subsidiaries of ABP Food Group (together referred to as the Anglo Beef Processors UK Group)</w:t>
      </w:r>
      <w:r w:rsidR="002F7D09">
        <w:rPr>
          <w:szCs w:val="22"/>
        </w:rPr>
        <w:t xml:space="preserve"> </w:t>
      </w:r>
      <w:r w:rsidR="00DF29F4">
        <w:rPr>
          <w:szCs w:val="22"/>
        </w:rPr>
        <w:t xml:space="preserve">in </w:t>
      </w:r>
      <w:r w:rsidR="002F7D09">
        <w:rPr>
          <w:szCs w:val="22"/>
        </w:rPr>
        <w:t xml:space="preserve">accordance with </w:t>
      </w:r>
      <w:r w:rsidR="007F7D8E">
        <w:rPr>
          <w:szCs w:val="22"/>
        </w:rPr>
        <w:t xml:space="preserve">Part 2 </w:t>
      </w:r>
      <w:r w:rsidR="002F7D09">
        <w:rPr>
          <w:szCs w:val="22"/>
        </w:rPr>
        <w:t>of Schedule 19 to the Finance Act 2016. In</w:t>
      </w:r>
      <w:r>
        <w:rPr>
          <w:szCs w:val="22"/>
        </w:rPr>
        <w:t xml:space="preserve"> this strategy, references to ‘ABP</w:t>
      </w:r>
      <w:r w:rsidR="002F7D09">
        <w:rPr>
          <w:szCs w:val="22"/>
        </w:rPr>
        <w:t>’</w:t>
      </w:r>
      <w:r w:rsidR="003B5C2C">
        <w:rPr>
          <w:szCs w:val="22"/>
        </w:rPr>
        <w:t xml:space="preserve"> or ‘the Group’,</w:t>
      </w:r>
      <w:r w:rsidR="002F7D09">
        <w:rPr>
          <w:szCs w:val="22"/>
        </w:rPr>
        <w:t xml:space="preserve"> are to all t</w:t>
      </w:r>
      <w:r w:rsidR="00BA0C60">
        <w:rPr>
          <w:szCs w:val="22"/>
        </w:rPr>
        <w:t>hese entities. The strategy is</w:t>
      </w:r>
      <w:r w:rsidR="0053081C">
        <w:rPr>
          <w:szCs w:val="22"/>
        </w:rPr>
        <w:t xml:space="preserve"> being</w:t>
      </w:r>
      <w:r w:rsidR="002F7D09">
        <w:rPr>
          <w:szCs w:val="22"/>
        </w:rPr>
        <w:t xml:space="preserve"> published</w:t>
      </w:r>
      <w:r>
        <w:rPr>
          <w:szCs w:val="22"/>
        </w:rPr>
        <w:t xml:space="preserve"> by ABP </w:t>
      </w:r>
      <w:r w:rsidR="002F7D09">
        <w:rPr>
          <w:szCs w:val="22"/>
        </w:rPr>
        <w:t>i</w:t>
      </w:r>
      <w:r>
        <w:rPr>
          <w:szCs w:val="22"/>
        </w:rPr>
        <w:t>n accordance with paragraph 16(2</w:t>
      </w:r>
      <w:r w:rsidR="002F7D09">
        <w:rPr>
          <w:szCs w:val="22"/>
        </w:rPr>
        <w:t>) of the Schedule.</w:t>
      </w:r>
    </w:p>
    <w:p w14:paraId="298E013C" w14:textId="77777777" w:rsidR="002F7D09" w:rsidRDefault="002F7D09" w:rsidP="00AC498A">
      <w:pPr>
        <w:pStyle w:val="Text"/>
        <w:jc w:val="both"/>
        <w:rPr>
          <w:szCs w:val="22"/>
        </w:rPr>
      </w:pPr>
      <w:r>
        <w:rPr>
          <w:szCs w:val="22"/>
        </w:rPr>
        <w:t>This strategy applies from the date of publication until it is superseded. References to ‘UK Taxation’ are to the taxes and duties set out in paragraph 15(1) of the Schedule which include Income Tax, Corporation Tax, PAYE, NIC, VAT, Insurance Premium Tax, and Stamp Duty Land Tax. References to ‘tax’, ‘taxes’ or ‘taxation’ are to UK taxation and to all corresponding worldwide taxes and simi</w:t>
      </w:r>
      <w:r w:rsidR="00AE6186">
        <w:rPr>
          <w:szCs w:val="22"/>
        </w:rPr>
        <w:t xml:space="preserve">lar duties in respect of which </w:t>
      </w:r>
      <w:r w:rsidR="008344F1">
        <w:rPr>
          <w:szCs w:val="22"/>
        </w:rPr>
        <w:t>ABP</w:t>
      </w:r>
      <w:r>
        <w:rPr>
          <w:szCs w:val="22"/>
        </w:rPr>
        <w:t xml:space="preserve"> has legal responsibilities.</w:t>
      </w:r>
    </w:p>
    <w:p w14:paraId="47D214F1" w14:textId="77777777" w:rsidR="002F7D09" w:rsidRDefault="002F7D09" w:rsidP="00AC498A">
      <w:pPr>
        <w:pStyle w:val="Text"/>
        <w:jc w:val="both"/>
        <w:rPr>
          <w:b/>
          <w:szCs w:val="22"/>
        </w:rPr>
      </w:pPr>
      <w:r>
        <w:rPr>
          <w:b/>
          <w:szCs w:val="22"/>
        </w:rPr>
        <w:t>Aim</w:t>
      </w:r>
    </w:p>
    <w:p w14:paraId="617A3997" w14:textId="77777777" w:rsidR="003B5C2C" w:rsidRDefault="003B5C2C" w:rsidP="00AC498A">
      <w:pPr>
        <w:pStyle w:val="Text"/>
        <w:jc w:val="both"/>
      </w:pPr>
      <w:r>
        <w:t xml:space="preserve">The Tax Strategy </w:t>
      </w:r>
      <w:r w:rsidR="002839F3">
        <w:t>of</w:t>
      </w:r>
      <w:r>
        <w:t xml:space="preserve"> ABP </w:t>
      </w:r>
      <w:r w:rsidR="003405F2">
        <w:t xml:space="preserve">aims to </w:t>
      </w:r>
      <w:r>
        <w:t xml:space="preserve">preserve and enhance the value and reputation of the Group in the context of its business activities.  The Group has a well-deserved international reputation, earned over many </w:t>
      </w:r>
      <w:r w:rsidR="00D87648">
        <w:t>decades</w:t>
      </w:r>
      <w:r w:rsidR="00A62B56">
        <w:t>, which</w:t>
      </w:r>
      <w:r w:rsidR="003405F2">
        <w:t xml:space="preserve"> it wishes to maintain and enhance</w:t>
      </w:r>
      <w:r w:rsidR="00497C1F">
        <w:t>.</w:t>
      </w:r>
    </w:p>
    <w:p w14:paraId="2900401B" w14:textId="77777777" w:rsidR="002F7D09" w:rsidRDefault="003B5C2C" w:rsidP="00AC498A">
      <w:pPr>
        <w:pStyle w:val="Text"/>
        <w:jc w:val="both"/>
        <w:rPr>
          <w:szCs w:val="22"/>
        </w:rPr>
      </w:pPr>
      <w:r>
        <w:rPr>
          <w:szCs w:val="22"/>
        </w:rPr>
        <w:t>ABP</w:t>
      </w:r>
      <w:r w:rsidR="002F7D09">
        <w:rPr>
          <w:szCs w:val="22"/>
        </w:rPr>
        <w:t xml:space="preserve"> is committed to full compliance with all statutory obligations and full disclosure to </w:t>
      </w:r>
      <w:r w:rsidR="0053081C">
        <w:rPr>
          <w:szCs w:val="22"/>
        </w:rPr>
        <w:t xml:space="preserve">relevant </w:t>
      </w:r>
      <w:r>
        <w:rPr>
          <w:szCs w:val="22"/>
        </w:rPr>
        <w:t>tax authorities. The G</w:t>
      </w:r>
      <w:r w:rsidR="00AE6186">
        <w:rPr>
          <w:szCs w:val="22"/>
        </w:rPr>
        <w:t>roup’s</w:t>
      </w:r>
      <w:r w:rsidR="002F7D09">
        <w:rPr>
          <w:szCs w:val="22"/>
        </w:rPr>
        <w:t xml:space="preserve"> tax affairs are managed in a way which takes into account the </w:t>
      </w:r>
      <w:r>
        <w:rPr>
          <w:szCs w:val="22"/>
        </w:rPr>
        <w:t>G</w:t>
      </w:r>
      <w:r w:rsidR="00AE6186">
        <w:rPr>
          <w:szCs w:val="22"/>
        </w:rPr>
        <w:t>roup’s</w:t>
      </w:r>
      <w:r w:rsidR="002F7D09">
        <w:rPr>
          <w:szCs w:val="22"/>
        </w:rPr>
        <w:t xml:space="preserve"> wider corporate reputation in line with </w:t>
      </w:r>
      <w:r>
        <w:rPr>
          <w:szCs w:val="22"/>
        </w:rPr>
        <w:t>ABP’s</w:t>
      </w:r>
      <w:r w:rsidR="002F7D09">
        <w:rPr>
          <w:szCs w:val="22"/>
        </w:rPr>
        <w:t xml:space="preserve"> overall high standards of governance.</w:t>
      </w:r>
    </w:p>
    <w:p w14:paraId="09A81504" w14:textId="77777777" w:rsidR="002F7D09" w:rsidRDefault="002F7D09" w:rsidP="00AC498A">
      <w:pPr>
        <w:pStyle w:val="Text"/>
        <w:jc w:val="both"/>
        <w:rPr>
          <w:b/>
          <w:szCs w:val="22"/>
        </w:rPr>
      </w:pPr>
      <w:r>
        <w:rPr>
          <w:b/>
          <w:szCs w:val="22"/>
        </w:rPr>
        <w:t>Governance in relation to UK taxation</w:t>
      </w:r>
    </w:p>
    <w:p w14:paraId="103AFFB1" w14:textId="77777777" w:rsidR="002F7D09" w:rsidRDefault="002F7D09" w:rsidP="00AC498A">
      <w:pPr>
        <w:pStyle w:val="Text"/>
        <w:numPr>
          <w:ilvl w:val="0"/>
          <w:numId w:val="5"/>
        </w:numPr>
        <w:spacing w:after="0"/>
        <w:ind w:left="360"/>
        <w:jc w:val="both"/>
        <w:rPr>
          <w:szCs w:val="22"/>
        </w:rPr>
      </w:pPr>
      <w:r w:rsidRPr="00EF1D83">
        <w:rPr>
          <w:szCs w:val="22"/>
        </w:rPr>
        <w:t>Ult</w:t>
      </w:r>
      <w:r w:rsidR="00497C1F">
        <w:rPr>
          <w:szCs w:val="22"/>
        </w:rPr>
        <w:t>imate responsibility for ABP</w:t>
      </w:r>
      <w:r w:rsidRPr="00EF1D83">
        <w:rPr>
          <w:szCs w:val="22"/>
        </w:rPr>
        <w:t xml:space="preserve">’s tax strategy and compliance rests with the Board of </w:t>
      </w:r>
      <w:r w:rsidR="00497C1F">
        <w:rPr>
          <w:szCs w:val="22"/>
        </w:rPr>
        <w:t>A</w:t>
      </w:r>
      <w:r w:rsidR="00F10E47">
        <w:rPr>
          <w:szCs w:val="22"/>
        </w:rPr>
        <w:t>nglo Beef Processors</w:t>
      </w:r>
      <w:r w:rsidR="00A62B56">
        <w:rPr>
          <w:szCs w:val="22"/>
        </w:rPr>
        <w:t xml:space="preserve"> UK</w:t>
      </w:r>
      <w:r w:rsidR="003405F2">
        <w:rPr>
          <w:szCs w:val="22"/>
        </w:rPr>
        <w:t>.</w:t>
      </w:r>
    </w:p>
    <w:p w14:paraId="426FD67C" w14:textId="62513587" w:rsidR="00497C1F" w:rsidRPr="00497C1F" w:rsidRDefault="002F7D09" w:rsidP="00AC498A">
      <w:pPr>
        <w:pStyle w:val="Text"/>
        <w:numPr>
          <w:ilvl w:val="0"/>
          <w:numId w:val="5"/>
        </w:numPr>
        <w:spacing w:after="0"/>
        <w:ind w:left="360"/>
        <w:jc w:val="both"/>
        <w:rPr>
          <w:szCs w:val="22"/>
        </w:rPr>
      </w:pPr>
      <w:r w:rsidRPr="00EF1D83">
        <w:rPr>
          <w:szCs w:val="22"/>
        </w:rPr>
        <w:t xml:space="preserve">The Audit </w:t>
      </w:r>
      <w:r w:rsidR="00CE5EBC">
        <w:rPr>
          <w:szCs w:val="22"/>
        </w:rPr>
        <w:t>and</w:t>
      </w:r>
      <w:r w:rsidRPr="00EF1D83">
        <w:rPr>
          <w:szCs w:val="22"/>
        </w:rPr>
        <w:t xml:space="preserve"> Risk Committee’s requirement to monitor the integrity of </w:t>
      </w:r>
      <w:r w:rsidR="00497C1F">
        <w:rPr>
          <w:szCs w:val="22"/>
        </w:rPr>
        <w:t xml:space="preserve">ABP’s </w:t>
      </w:r>
      <w:r w:rsidRPr="00EF1D83">
        <w:rPr>
          <w:szCs w:val="22"/>
        </w:rPr>
        <w:t>financial reporting system, internal controls and risk management framework, expressly includes thos</w:t>
      </w:r>
      <w:r w:rsidR="003405F2">
        <w:rPr>
          <w:szCs w:val="22"/>
        </w:rPr>
        <w:t>e elements relating to taxation.</w:t>
      </w:r>
    </w:p>
    <w:p w14:paraId="57841AD4" w14:textId="0AB8EEA8" w:rsidR="00497C1F" w:rsidRPr="00497C1F" w:rsidRDefault="00497C1F" w:rsidP="00AC498A">
      <w:pPr>
        <w:pStyle w:val="Text"/>
        <w:numPr>
          <w:ilvl w:val="0"/>
          <w:numId w:val="5"/>
        </w:numPr>
        <w:spacing w:after="0"/>
        <w:ind w:left="360"/>
        <w:jc w:val="both"/>
        <w:rPr>
          <w:szCs w:val="22"/>
        </w:rPr>
      </w:pPr>
      <w:r w:rsidRPr="00497C1F">
        <w:rPr>
          <w:szCs w:val="22"/>
        </w:rPr>
        <w:t>The Group Tax Department meet</w:t>
      </w:r>
      <w:r w:rsidR="00C0074D">
        <w:rPr>
          <w:szCs w:val="22"/>
        </w:rPr>
        <w:t>s</w:t>
      </w:r>
      <w:r w:rsidRPr="00497C1F">
        <w:rPr>
          <w:szCs w:val="22"/>
        </w:rPr>
        <w:t xml:space="preserve"> with the Audit </w:t>
      </w:r>
      <w:r w:rsidR="00C0074D">
        <w:rPr>
          <w:szCs w:val="22"/>
        </w:rPr>
        <w:t>C</w:t>
      </w:r>
      <w:r w:rsidRPr="00497C1F">
        <w:rPr>
          <w:szCs w:val="22"/>
        </w:rPr>
        <w:t xml:space="preserve">ommittee at least </w:t>
      </w:r>
      <w:r w:rsidR="00674160" w:rsidRPr="00497C1F">
        <w:rPr>
          <w:szCs w:val="22"/>
        </w:rPr>
        <w:t>annually and</w:t>
      </w:r>
      <w:r w:rsidRPr="00497C1F">
        <w:rPr>
          <w:szCs w:val="22"/>
        </w:rPr>
        <w:t xml:space="preserve"> present</w:t>
      </w:r>
      <w:r w:rsidR="00C0074D">
        <w:rPr>
          <w:szCs w:val="22"/>
        </w:rPr>
        <w:t>s</w:t>
      </w:r>
      <w:r w:rsidRPr="00497C1F">
        <w:rPr>
          <w:szCs w:val="22"/>
        </w:rPr>
        <w:t xml:space="preserve"> to the Board on material issues as determined by the Audit </w:t>
      </w:r>
      <w:r w:rsidR="00C0074D">
        <w:rPr>
          <w:szCs w:val="22"/>
        </w:rPr>
        <w:t>C</w:t>
      </w:r>
      <w:r w:rsidRPr="00497C1F">
        <w:rPr>
          <w:szCs w:val="22"/>
        </w:rPr>
        <w:t>ommittee.  However, if material issues arise, they will immediately be drawn to the Audit Committee’s and Board’s attention</w:t>
      </w:r>
      <w:r w:rsidR="003405F2">
        <w:rPr>
          <w:szCs w:val="22"/>
        </w:rPr>
        <w:t>.</w:t>
      </w:r>
    </w:p>
    <w:p w14:paraId="0206114F" w14:textId="5EE27529" w:rsidR="002F7D09" w:rsidRPr="00EF1D83" w:rsidRDefault="002F7D09" w:rsidP="00AC498A">
      <w:pPr>
        <w:pStyle w:val="Text"/>
        <w:numPr>
          <w:ilvl w:val="0"/>
          <w:numId w:val="5"/>
        </w:numPr>
        <w:spacing w:after="0"/>
        <w:ind w:left="360"/>
        <w:jc w:val="both"/>
        <w:rPr>
          <w:szCs w:val="22"/>
        </w:rPr>
      </w:pPr>
      <w:r w:rsidRPr="00EF1D83">
        <w:rPr>
          <w:szCs w:val="22"/>
        </w:rPr>
        <w:t>Da</w:t>
      </w:r>
      <w:r w:rsidR="00497C1F">
        <w:rPr>
          <w:szCs w:val="22"/>
        </w:rPr>
        <w:t>y-to-day management of ABP’s</w:t>
      </w:r>
      <w:r w:rsidRPr="00EF1D83">
        <w:rPr>
          <w:szCs w:val="22"/>
        </w:rPr>
        <w:t xml:space="preserve"> tax affairs is delegated to the </w:t>
      </w:r>
      <w:r w:rsidR="00914A13">
        <w:rPr>
          <w:szCs w:val="22"/>
        </w:rPr>
        <w:t>Chief Financial Officer</w:t>
      </w:r>
      <w:r w:rsidR="00497C1F">
        <w:rPr>
          <w:szCs w:val="22"/>
        </w:rPr>
        <w:t>, who reports to the Board and regularly seek</w:t>
      </w:r>
      <w:r w:rsidR="007B7F1D">
        <w:rPr>
          <w:szCs w:val="22"/>
        </w:rPr>
        <w:t>s</w:t>
      </w:r>
      <w:r w:rsidR="00497C1F">
        <w:rPr>
          <w:szCs w:val="22"/>
        </w:rPr>
        <w:t xml:space="preserve"> the assistance of the Group Tax Department</w:t>
      </w:r>
      <w:r w:rsidR="0022216B">
        <w:rPr>
          <w:szCs w:val="22"/>
        </w:rPr>
        <w:t>.</w:t>
      </w:r>
    </w:p>
    <w:p w14:paraId="3DD2B274" w14:textId="77777777" w:rsidR="002F7D09" w:rsidRPr="00EF1D83" w:rsidRDefault="002F7D09" w:rsidP="00AC498A">
      <w:pPr>
        <w:pStyle w:val="Text"/>
        <w:numPr>
          <w:ilvl w:val="0"/>
          <w:numId w:val="5"/>
        </w:numPr>
        <w:spacing w:after="0"/>
        <w:ind w:left="360"/>
        <w:jc w:val="both"/>
        <w:rPr>
          <w:szCs w:val="22"/>
        </w:rPr>
      </w:pPr>
      <w:r w:rsidRPr="00EF1D83">
        <w:rPr>
          <w:szCs w:val="22"/>
        </w:rPr>
        <w:t xml:space="preserve">The </w:t>
      </w:r>
      <w:r w:rsidR="00497C1F">
        <w:rPr>
          <w:szCs w:val="22"/>
        </w:rPr>
        <w:t>Finance teams are</w:t>
      </w:r>
      <w:r w:rsidRPr="00EF1D83">
        <w:rPr>
          <w:szCs w:val="22"/>
        </w:rPr>
        <w:t xml:space="preserve"> staffed with appropri</w:t>
      </w:r>
      <w:r w:rsidR="003405F2">
        <w:rPr>
          <w:szCs w:val="22"/>
        </w:rPr>
        <w:t>ately qualified individuals.</w:t>
      </w:r>
    </w:p>
    <w:p w14:paraId="5714F32B" w14:textId="39CB69D7" w:rsidR="00CF0BDE" w:rsidRDefault="002F7D09" w:rsidP="00AC498A">
      <w:pPr>
        <w:pStyle w:val="Text"/>
        <w:numPr>
          <w:ilvl w:val="0"/>
          <w:numId w:val="5"/>
        </w:numPr>
        <w:spacing w:after="0"/>
        <w:ind w:left="360"/>
        <w:jc w:val="both"/>
        <w:rPr>
          <w:szCs w:val="22"/>
        </w:rPr>
      </w:pPr>
      <w:r w:rsidRPr="00EF1D83">
        <w:rPr>
          <w:szCs w:val="22"/>
        </w:rPr>
        <w:t>The Board ensure</w:t>
      </w:r>
      <w:r w:rsidR="00EF1D83" w:rsidRPr="00EF1D83">
        <w:rPr>
          <w:szCs w:val="22"/>
        </w:rPr>
        <w:t>s</w:t>
      </w:r>
      <w:r w:rsidRPr="00EF1D83">
        <w:rPr>
          <w:szCs w:val="22"/>
        </w:rPr>
        <w:t xml:space="preserve"> that </w:t>
      </w:r>
      <w:r w:rsidR="00497C1F">
        <w:rPr>
          <w:szCs w:val="22"/>
        </w:rPr>
        <w:t>ABP</w:t>
      </w:r>
      <w:r w:rsidRPr="00EF1D83">
        <w:rPr>
          <w:szCs w:val="22"/>
        </w:rPr>
        <w:t>’s tax strategy is one of the factors considered in all investments and signi</w:t>
      </w:r>
      <w:r w:rsidR="00DF29F4">
        <w:rPr>
          <w:szCs w:val="22"/>
        </w:rPr>
        <w:t>ficant business decisions taken.</w:t>
      </w:r>
    </w:p>
    <w:p w14:paraId="141D0EBF" w14:textId="0C929B32" w:rsidR="002F7D09" w:rsidRDefault="00CF0BDE" w:rsidP="00CF0BDE">
      <w:pPr>
        <w:overflowPunct/>
        <w:autoSpaceDE/>
        <w:autoSpaceDN/>
        <w:adjustRightInd/>
        <w:spacing w:after="160" w:line="259" w:lineRule="auto"/>
        <w:rPr>
          <w:szCs w:val="22"/>
        </w:rPr>
      </w:pPr>
      <w:r>
        <w:rPr>
          <w:szCs w:val="22"/>
        </w:rPr>
        <w:br w:type="page"/>
      </w:r>
    </w:p>
    <w:p w14:paraId="59C1A019" w14:textId="77777777" w:rsidR="002839F3" w:rsidRDefault="002839F3" w:rsidP="00AC498A">
      <w:pPr>
        <w:pStyle w:val="Text"/>
        <w:spacing w:after="0"/>
        <w:jc w:val="both"/>
        <w:rPr>
          <w:szCs w:val="22"/>
        </w:rPr>
      </w:pPr>
    </w:p>
    <w:p w14:paraId="7427B300" w14:textId="73251431" w:rsidR="002F7D09" w:rsidRPr="00836858" w:rsidRDefault="002F7D09" w:rsidP="00AC498A">
      <w:pPr>
        <w:pStyle w:val="Text"/>
        <w:jc w:val="both"/>
        <w:rPr>
          <w:b/>
          <w:szCs w:val="22"/>
        </w:rPr>
      </w:pPr>
      <w:r w:rsidRPr="00836858">
        <w:rPr>
          <w:b/>
          <w:szCs w:val="22"/>
        </w:rPr>
        <w:t>Risk Management</w:t>
      </w:r>
    </w:p>
    <w:p w14:paraId="320AF1A0" w14:textId="77777777" w:rsidR="002F7D09" w:rsidRPr="00EF1D83" w:rsidRDefault="00CB5693" w:rsidP="00AC498A">
      <w:pPr>
        <w:pStyle w:val="Text"/>
        <w:numPr>
          <w:ilvl w:val="0"/>
          <w:numId w:val="5"/>
        </w:numPr>
        <w:spacing w:after="0"/>
        <w:ind w:left="360"/>
        <w:jc w:val="both"/>
        <w:rPr>
          <w:szCs w:val="22"/>
        </w:rPr>
      </w:pPr>
      <w:r>
        <w:rPr>
          <w:szCs w:val="22"/>
        </w:rPr>
        <w:t>ABP</w:t>
      </w:r>
      <w:r w:rsidR="002F7D09" w:rsidRPr="00EF1D83">
        <w:rPr>
          <w:szCs w:val="22"/>
        </w:rPr>
        <w:t xml:space="preserve"> operates a system of tax risk assessment and controls as a component of the overall internal control framework applicable to the </w:t>
      </w:r>
      <w:r w:rsidR="00EF1D83" w:rsidRPr="00EF1D83">
        <w:rPr>
          <w:szCs w:val="22"/>
        </w:rPr>
        <w:t>group’s</w:t>
      </w:r>
      <w:r w:rsidR="002F7D09" w:rsidRPr="00EF1D83">
        <w:rPr>
          <w:szCs w:val="22"/>
        </w:rPr>
        <w:t xml:space="preserve"> financial reporting system</w:t>
      </w:r>
      <w:r w:rsidR="004B0863">
        <w:rPr>
          <w:szCs w:val="22"/>
        </w:rPr>
        <w:t>.</w:t>
      </w:r>
    </w:p>
    <w:p w14:paraId="68E44CE2" w14:textId="77777777" w:rsidR="002F7D09" w:rsidRPr="00EF1D83" w:rsidRDefault="00BA0C60" w:rsidP="00AC498A">
      <w:pPr>
        <w:pStyle w:val="Text"/>
        <w:numPr>
          <w:ilvl w:val="0"/>
          <w:numId w:val="5"/>
        </w:numPr>
        <w:spacing w:after="0"/>
        <w:ind w:left="360"/>
        <w:jc w:val="both"/>
        <w:rPr>
          <w:szCs w:val="22"/>
        </w:rPr>
      </w:pPr>
      <w:r>
        <w:rPr>
          <w:szCs w:val="22"/>
        </w:rPr>
        <w:t>ABP</w:t>
      </w:r>
      <w:r w:rsidR="002F7D09" w:rsidRPr="00EF1D83">
        <w:rPr>
          <w:szCs w:val="22"/>
        </w:rPr>
        <w:t xml:space="preserve"> seeks to reduce the level of tax risk arising from its operations as far as is reasonably practicable by ensuring that reasonable care is applied in relation to all processes which could materially affect its comp</w:t>
      </w:r>
      <w:r w:rsidR="004B0863">
        <w:rPr>
          <w:szCs w:val="22"/>
        </w:rPr>
        <w:t>liance with its tax obligations.</w:t>
      </w:r>
    </w:p>
    <w:p w14:paraId="19665810" w14:textId="77777777" w:rsidR="002F7D09" w:rsidRDefault="002F7D09" w:rsidP="00AC498A">
      <w:pPr>
        <w:pStyle w:val="Text"/>
        <w:numPr>
          <w:ilvl w:val="0"/>
          <w:numId w:val="5"/>
        </w:numPr>
        <w:spacing w:after="0"/>
        <w:ind w:left="360"/>
        <w:jc w:val="both"/>
        <w:rPr>
          <w:szCs w:val="22"/>
        </w:rPr>
      </w:pPr>
      <w:r w:rsidRPr="00EF1D83">
        <w:rPr>
          <w:szCs w:val="22"/>
        </w:rPr>
        <w:t xml:space="preserve">Processes relating to different taxes are allocated to appropriate process owners, who carry out a review of activities and processes to identify key risks and mitigating controls in place.  These key risks are monitored for business and legislative changes which may impact them and changes to processes or </w:t>
      </w:r>
      <w:r w:rsidR="004B0863">
        <w:rPr>
          <w:szCs w:val="22"/>
        </w:rPr>
        <w:t>controls are made when required.</w:t>
      </w:r>
    </w:p>
    <w:p w14:paraId="064D2F1D" w14:textId="77777777" w:rsidR="00BA0C60" w:rsidRPr="00EF1D83" w:rsidRDefault="00BA0C60" w:rsidP="00AC498A">
      <w:pPr>
        <w:pStyle w:val="Text"/>
        <w:numPr>
          <w:ilvl w:val="0"/>
          <w:numId w:val="5"/>
        </w:numPr>
        <w:spacing w:after="0"/>
        <w:ind w:left="360"/>
        <w:jc w:val="both"/>
        <w:rPr>
          <w:szCs w:val="22"/>
        </w:rPr>
      </w:pPr>
      <w:r>
        <w:rPr>
          <w:szCs w:val="22"/>
        </w:rPr>
        <w:t>Appr</w:t>
      </w:r>
      <w:r w:rsidRPr="00EF1D83">
        <w:rPr>
          <w:szCs w:val="22"/>
        </w:rPr>
        <w:t xml:space="preserve">opriate training is </w:t>
      </w:r>
      <w:r>
        <w:rPr>
          <w:szCs w:val="22"/>
        </w:rPr>
        <w:t xml:space="preserve">provided </w:t>
      </w:r>
      <w:r w:rsidRPr="00EF1D83">
        <w:rPr>
          <w:szCs w:val="22"/>
        </w:rPr>
        <w:t xml:space="preserve">for </w:t>
      </w:r>
      <w:r>
        <w:rPr>
          <w:szCs w:val="22"/>
        </w:rPr>
        <w:t>employees w</w:t>
      </w:r>
      <w:r w:rsidRPr="00EF1D83">
        <w:rPr>
          <w:szCs w:val="22"/>
        </w:rPr>
        <w:t>ho manage process</w:t>
      </w:r>
      <w:r>
        <w:rPr>
          <w:szCs w:val="22"/>
        </w:rPr>
        <w:t>es or process transact</w:t>
      </w:r>
      <w:r w:rsidR="004B0863">
        <w:rPr>
          <w:szCs w:val="22"/>
        </w:rPr>
        <w:t>ions that have tax implications.</w:t>
      </w:r>
    </w:p>
    <w:p w14:paraId="5A152215" w14:textId="77777777" w:rsidR="002F7D09" w:rsidRDefault="00EF1D83" w:rsidP="00AC498A">
      <w:pPr>
        <w:pStyle w:val="Text"/>
        <w:numPr>
          <w:ilvl w:val="0"/>
          <w:numId w:val="5"/>
        </w:numPr>
        <w:spacing w:after="0"/>
        <w:ind w:left="360"/>
        <w:jc w:val="both"/>
        <w:rPr>
          <w:szCs w:val="22"/>
        </w:rPr>
      </w:pPr>
      <w:r w:rsidRPr="00EF1D83">
        <w:rPr>
          <w:szCs w:val="22"/>
        </w:rPr>
        <w:t>Advice is sought from external advisers</w:t>
      </w:r>
      <w:r w:rsidR="002F7D09" w:rsidRPr="00EF1D83">
        <w:rPr>
          <w:szCs w:val="22"/>
        </w:rPr>
        <w:t xml:space="preserve"> where appropriate. </w:t>
      </w:r>
    </w:p>
    <w:p w14:paraId="77C96275" w14:textId="77777777" w:rsidR="00836858" w:rsidRPr="00EF1D83" w:rsidRDefault="00836858" w:rsidP="00AC498A">
      <w:pPr>
        <w:pStyle w:val="Text"/>
        <w:spacing w:after="0"/>
        <w:ind w:left="360"/>
        <w:jc w:val="both"/>
        <w:rPr>
          <w:szCs w:val="22"/>
        </w:rPr>
      </w:pPr>
    </w:p>
    <w:p w14:paraId="03D312C0" w14:textId="77777777" w:rsidR="002F7D09" w:rsidRPr="00836858" w:rsidRDefault="002F7D09" w:rsidP="00AC498A">
      <w:pPr>
        <w:pStyle w:val="Text"/>
        <w:jc w:val="both"/>
        <w:rPr>
          <w:b/>
          <w:szCs w:val="22"/>
        </w:rPr>
      </w:pPr>
      <w:r w:rsidRPr="00836858">
        <w:rPr>
          <w:b/>
          <w:szCs w:val="22"/>
        </w:rPr>
        <w:t>Attitude towards tax planning and level of risk</w:t>
      </w:r>
    </w:p>
    <w:p w14:paraId="5383071F" w14:textId="77777777" w:rsidR="002F7D09" w:rsidRDefault="00BA0C60" w:rsidP="00AC498A">
      <w:pPr>
        <w:pStyle w:val="Text"/>
        <w:jc w:val="both"/>
        <w:rPr>
          <w:szCs w:val="22"/>
        </w:rPr>
      </w:pPr>
      <w:r>
        <w:rPr>
          <w:szCs w:val="22"/>
        </w:rPr>
        <w:t>ABP</w:t>
      </w:r>
      <w:r w:rsidR="002F7D09">
        <w:rPr>
          <w:szCs w:val="22"/>
        </w:rPr>
        <w:t xml:space="preserve"> manages risks </w:t>
      </w:r>
      <w:r w:rsidR="00D87648">
        <w:rPr>
          <w:szCs w:val="22"/>
        </w:rPr>
        <w:t xml:space="preserve">in all jurisdictions in which the group operates </w:t>
      </w:r>
      <w:r w:rsidR="002F7D09">
        <w:rPr>
          <w:szCs w:val="22"/>
        </w:rPr>
        <w:t>to ensure compliance with legal requirements in a manner which ensures payment of the right amount of tax.</w:t>
      </w:r>
    </w:p>
    <w:p w14:paraId="64B51304" w14:textId="1D5EBBA4" w:rsidR="002F7D09" w:rsidRDefault="002F7D09" w:rsidP="00AC498A">
      <w:pPr>
        <w:pStyle w:val="Text"/>
        <w:jc w:val="both"/>
      </w:pPr>
      <w:r>
        <w:t xml:space="preserve">When </w:t>
      </w:r>
      <w:r w:rsidR="00674160">
        <w:t>entering</w:t>
      </w:r>
      <w:r>
        <w:t xml:space="preserve"> commercial transactions, </w:t>
      </w:r>
      <w:r w:rsidR="00BA0C60">
        <w:t xml:space="preserve">ABP </w:t>
      </w:r>
      <w:r>
        <w:t xml:space="preserve">seeks to take advantage of available tax incentives, reliefs and exemptions in line with, and in the spirit of tax legislation.  </w:t>
      </w:r>
      <w:r w:rsidR="00BA0C60">
        <w:t>ABP</w:t>
      </w:r>
      <w:r>
        <w:t xml:space="preserve"> does not undertake tax planning unrelated to such commercial transactions.</w:t>
      </w:r>
    </w:p>
    <w:p w14:paraId="11A769BB" w14:textId="77777777" w:rsidR="002F7D09" w:rsidRDefault="002F7D09" w:rsidP="00AC498A">
      <w:pPr>
        <w:pStyle w:val="Text"/>
        <w:jc w:val="both"/>
      </w:pPr>
      <w:r>
        <w:t xml:space="preserve">The level of risk which </w:t>
      </w:r>
      <w:r w:rsidR="00BA0C60">
        <w:t>ABP</w:t>
      </w:r>
      <w:r>
        <w:t xml:space="preserve"> accepts in relation to UK taxation is consistent with its overall objective of achieving certainty in the </w:t>
      </w:r>
      <w:r w:rsidR="00EF1D83">
        <w:t>group’s</w:t>
      </w:r>
      <w:r>
        <w:t xml:space="preserve"> tax affairs. At all times </w:t>
      </w:r>
      <w:r w:rsidR="00BA0C60">
        <w:t>ABP</w:t>
      </w:r>
      <w:r>
        <w:t xml:space="preserve"> seeks to comply fully with its regulatory and other obligations and to act in a way which upholds its reputation as a responsible corporate citizen. In relation to any specific issue or transaction, the Board</w:t>
      </w:r>
      <w:r w:rsidR="00BA0C60">
        <w:t xml:space="preserve"> and Group Tax Department </w:t>
      </w:r>
      <w:r>
        <w:t>is ultimately responsible for identifying the risks, including tax risks, which need to be addressed and for determining what actions should be taken to manage those risks, having regard to the materiality of the amounts and obligations in question.</w:t>
      </w:r>
    </w:p>
    <w:p w14:paraId="5E8FE646" w14:textId="77777777" w:rsidR="002F7D09" w:rsidRPr="00836858" w:rsidRDefault="002F7D09" w:rsidP="00AC498A">
      <w:pPr>
        <w:pStyle w:val="Text"/>
        <w:jc w:val="both"/>
        <w:rPr>
          <w:b/>
          <w:szCs w:val="22"/>
        </w:rPr>
      </w:pPr>
      <w:r w:rsidRPr="00836858">
        <w:rPr>
          <w:b/>
          <w:szCs w:val="22"/>
        </w:rPr>
        <w:t>Relationship with HMRC</w:t>
      </w:r>
    </w:p>
    <w:p w14:paraId="5182063D" w14:textId="77777777" w:rsidR="002F7D09" w:rsidRDefault="00BA0C60" w:rsidP="00AC498A">
      <w:pPr>
        <w:pStyle w:val="Text"/>
        <w:jc w:val="both"/>
      </w:pPr>
      <w:r>
        <w:t>ABP</w:t>
      </w:r>
      <w:r w:rsidR="002F7D09">
        <w:t xml:space="preserve"> seeks to have a transparent and constructive relationship with HMRC through regular meetings and communication in respect of developments in </w:t>
      </w:r>
      <w:r>
        <w:t>ABP</w:t>
      </w:r>
      <w:r w:rsidR="002F7D09">
        <w:t>’s business, current, future and retrospective tax risks, and interpretation of the law in relation to all relevant taxes.</w:t>
      </w:r>
    </w:p>
    <w:p w14:paraId="043620D7" w14:textId="77777777" w:rsidR="002F7D09" w:rsidRDefault="00BA0C60" w:rsidP="00AC498A">
      <w:pPr>
        <w:pStyle w:val="Text"/>
        <w:jc w:val="both"/>
        <w:rPr>
          <w:szCs w:val="22"/>
        </w:rPr>
      </w:pPr>
      <w:r>
        <w:t xml:space="preserve">ABP </w:t>
      </w:r>
      <w:r w:rsidR="002F7D09">
        <w:t xml:space="preserve">ensures that HMRC is kept aware of significant transactions and changes in the business and seeks to discuss any tax issues arising at an early stage. When submitting tax computations and returns to HMRC, </w:t>
      </w:r>
      <w:r>
        <w:t>ABP</w:t>
      </w:r>
      <w:r w:rsidR="002F7D09">
        <w:t xml:space="preserve"> discloses all </w:t>
      </w:r>
      <w:r w:rsidR="002F7D09">
        <w:rPr>
          <w:szCs w:val="22"/>
        </w:rPr>
        <w:t>relevant facts and identifies any transactions or issues where it considers that there is potential for the tax treatment to be uncertain.</w:t>
      </w:r>
    </w:p>
    <w:p w14:paraId="2B9680F1" w14:textId="77777777" w:rsidR="002839F3" w:rsidRPr="00DF29F4" w:rsidRDefault="002F7D09" w:rsidP="00AC498A">
      <w:pPr>
        <w:pStyle w:val="Text"/>
        <w:jc w:val="both"/>
        <w:rPr>
          <w:szCs w:val="22"/>
        </w:rPr>
      </w:pPr>
      <w:r>
        <w:rPr>
          <w:szCs w:val="22"/>
        </w:rPr>
        <w:t>Any inadvertent errors in submissions made to HMRC are fully disclosed as soon as reasonably practicable after they are identified.</w:t>
      </w:r>
    </w:p>
    <w:sectPr w:rsidR="002839F3" w:rsidRPr="00DF29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919A" w14:textId="77777777" w:rsidR="00FB0D7B" w:rsidRDefault="00FB0D7B" w:rsidP="000209E6">
      <w:r>
        <w:separator/>
      </w:r>
    </w:p>
  </w:endnote>
  <w:endnote w:type="continuationSeparator" w:id="0">
    <w:p w14:paraId="6256B634" w14:textId="77777777" w:rsidR="00FB0D7B" w:rsidRDefault="00FB0D7B" w:rsidP="0002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1D29A" w14:textId="77777777" w:rsidR="00FB0D7B" w:rsidRDefault="00FB0D7B" w:rsidP="000209E6">
      <w:r>
        <w:separator/>
      </w:r>
    </w:p>
  </w:footnote>
  <w:footnote w:type="continuationSeparator" w:id="0">
    <w:p w14:paraId="269F7162" w14:textId="77777777" w:rsidR="00FB0D7B" w:rsidRDefault="00FB0D7B" w:rsidP="0002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77F2" w14:textId="77777777" w:rsidR="000209E6" w:rsidRDefault="000209E6">
    <w:pPr>
      <w:pStyle w:val="Header"/>
    </w:pPr>
    <w:r w:rsidRPr="000209E6">
      <w:rPr>
        <w:b/>
        <w:noProof/>
        <w:sz w:val="24"/>
        <w:szCs w:val="24"/>
        <w:lang w:val="en-IE" w:eastAsia="en-IE"/>
      </w:rPr>
      <w:drawing>
        <wp:inline distT="0" distB="0" distL="0" distR="0" wp14:anchorId="4F39647C" wp14:editId="67D0BE8A">
          <wp:extent cx="723900" cy="511474"/>
          <wp:effectExtent l="0" t="0" r="0" b="3175"/>
          <wp:docPr id="2" name="Picture 2" descr="C:\Users\aaron.oneill\AppData\Local\Microsoft\Windows\INetCache\Content.Outlook\PQF90ILY\ABP logo only (000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on.oneill\AppData\Local\Microsoft\Windows\INetCache\Content.Outlook\PQF90ILY\ABP logo only (00000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42" cy="527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5AC2"/>
    <w:multiLevelType w:val="multilevel"/>
    <w:tmpl w:val="25A23C14"/>
    <w:lvl w:ilvl="0">
      <w:start w:val="1"/>
      <w:numFmt w:val="bullet"/>
      <w:lvlText w:val=""/>
      <w:lvlJc w:val="left"/>
      <w:pPr>
        <w:ind w:left="284" w:hanging="284"/>
      </w:pPr>
      <w:rPr>
        <w:rFonts w:ascii="Symbol" w:hAnsi="Symbol" w:hint="default"/>
        <w:color w:val="97989A"/>
        <w:sz w:val="24"/>
      </w:rPr>
    </w:lvl>
    <w:lvl w:ilvl="1">
      <w:start w:val="1"/>
      <w:numFmt w:val="bullet"/>
      <w:lvlText w:val="–"/>
      <w:lvlJc w:val="left"/>
      <w:pPr>
        <w:ind w:left="567" w:hanging="283"/>
      </w:pPr>
      <w:rPr>
        <w:rFonts w:ascii="Arial" w:hAnsi="Arial" w:cs="Times New Roman" w:hint="default"/>
        <w:color w:val="97989A"/>
      </w:rPr>
    </w:lvl>
    <w:lvl w:ilvl="2">
      <w:start w:val="1"/>
      <w:numFmt w:val="bullet"/>
      <w:lvlRestart w:val="1"/>
      <w:lvlText w:val="■"/>
      <w:lvlJc w:val="left"/>
      <w:pPr>
        <w:tabs>
          <w:tab w:val="num" w:pos="851"/>
        </w:tabs>
        <w:ind w:left="851" w:hanging="284"/>
      </w:pPr>
      <w:rPr>
        <w:rFonts w:ascii="Arial" w:hAnsi="Arial" w:cs="Times New Roman" w:hint="default"/>
        <w:color w:val="97989A"/>
      </w:rPr>
    </w:lvl>
    <w:lvl w:ilvl="3">
      <w:start w:val="1"/>
      <w:numFmt w:val="bullet"/>
      <w:lvlText w:val="–"/>
      <w:lvlJc w:val="left"/>
      <w:pPr>
        <w:ind w:left="1134" w:hanging="283"/>
      </w:pPr>
      <w:rPr>
        <w:rFonts w:ascii="Arial" w:hAnsi="Arial" w:cs="Times New Roman" w:hint="default"/>
        <w:color w:val="97989A"/>
      </w:rPr>
    </w:lvl>
    <w:lvl w:ilvl="4">
      <w:start w:val="1"/>
      <w:numFmt w:val="bullet"/>
      <w:lvlText w:val="■"/>
      <w:lvlJc w:val="left"/>
      <w:pPr>
        <w:ind w:left="1701" w:hanging="281"/>
      </w:pPr>
      <w:rPr>
        <w:rFonts w:ascii="Arial" w:hAnsi="Arial" w:cs="Times New Roman" w:hint="default"/>
        <w:color w:val="97989A"/>
      </w:rPr>
    </w:lvl>
    <w:lvl w:ilvl="5">
      <w:start w:val="1"/>
      <w:numFmt w:val="bullet"/>
      <w:lvlText w:val="–"/>
      <w:lvlJc w:val="left"/>
      <w:pPr>
        <w:ind w:left="1985" w:hanging="284"/>
      </w:pPr>
      <w:rPr>
        <w:rFonts w:ascii="Arial" w:hAnsi="Arial" w:cs="Times New Roman" w:hint="default"/>
        <w:color w:val="97989A"/>
      </w:rPr>
    </w:lvl>
    <w:lvl w:ilvl="6">
      <w:start w:val="1"/>
      <w:numFmt w:val="bullet"/>
      <w:lvlText w:val="■"/>
      <w:lvlJc w:val="left"/>
      <w:pPr>
        <w:ind w:left="2268" w:hanging="283"/>
      </w:pPr>
      <w:rPr>
        <w:rFonts w:ascii="Arial" w:hAnsi="Arial" w:cs="Times New Roman" w:hint="default"/>
        <w:color w:val="97989A"/>
      </w:rPr>
    </w:lvl>
    <w:lvl w:ilvl="7">
      <w:start w:val="1"/>
      <w:numFmt w:val="bullet"/>
      <w:lvlText w:val="–"/>
      <w:lvlJc w:val="left"/>
      <w:pPr>
        <w:ind w:left="2552" w:hanging="284"/>
      </w:pPr>
      <w:rPr>
        <w:rFonts w:ascii="Arial" w:hAnsi="Arial" w:cs="Times New Roman" w:hint="default"/>
        <w:color w:val="97989A"/>
      </w:rPr>
    </w:lvl>
    <w:lvl w:ilvl="8">
      <w:start w:val="1"/>
      <w:numFmt w:val="bullet"/>
      <w:lvlText w:val="■"/>
      <w:lvlJc w:val="left"/>
      <w:pPr>
        <w:ind w:left="2835" w:hanging="283"/>
      </w:pPr>
      <w:rPr>
        <w:rFonts w:ascii="Arial" w:hAnsi="Arial" w:cs="Times New Roman" w:hint="default"/>
        <w:color w:val="97989A"/>
      </w:rPr>
    </w:lvl>
  </w:abstractNum>
  <w:abstractNum w:abstractNumId="1" w15:restartNumberingAfterBreak="0">
    <w:nsid w:val="350116B8"/>
    <w:multiLevelType w:val="singleLevel"/>
    <w:tmpl w:val="DF846E2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3CF40E21"/>
    <w:multiLevelType w:val="multilevel"/>
    <w:tmpl w:val="652835EC"/>
    <w:lvl w:ilvl="0">
      <w:start w:val="1"/>
      <w:numFmt w:val="bullet"/>
      <w:lvlText w:val=""/>
      <w:lvlJc w:val="left"/>
      <w:pPr>
        <w:ind w:left="284" w:hanging="284"/>
      </w:pPr>
      <w:rPr>
        <w:rFonts w:ascii="Symbol" w:hAnsi="Symbol" w:hint="default"/>
        <w:color w:val="97989A"/>
        <w:sz w:val="24"/>
      </w:rPr>
    </w:lvl>
    <w:lvl w:ilvl="1">
      <w:start w:val="1"/>
      <w:numFmt w:val="bullet"/>
      <w:lvlText w:val="–"/>
      <w:lvlJc w:val="left"/>
      <w:pPr>
        <w:ind w:left="567" w:hanging="283"/>
      </w:pPr>
      <w:rPr>
        <w:rFonts w:ascii="Arial" w:hAnsi="Arial" w:cs="Times New Roman" w:hint="default"/>
        <w:color w:val="97989A"/>
      </w:rPr>
    </w:lvl>
    <w:lvl w:ilvl="2">
      <w:start w:val="1"/>
      <w:numFmt w:val="bullet"/>
      <w:lvlRestart w:val="1"/>
      <w:lvlText w:val="■"/>
      <w:lvlJc w:val="left"/>
      <w:pPr>
        <w:tabs>
          <w:tab w:val="num" w:pos="851"/>
        </w:tabs>
        <w:ind w:left="851" w:hanging="284"/>
      </w:pPr>
      <w:rPr>
        <w:rFonts w:ascii="Arial" w:hAnsi="Arial" w:cs="Times New Roman" w:hint="default"/>
        <w:color w:val="97989A"/>
      </w:rPr>
    </w:lvl>
    <w:lvl w:ilvl="3">
      <w:start w:val="1"/>
      <w:numFmt w:val="bullet"/>
      <w:lvlText w:val="–"/>
      <w:lvlJc w:val="left"/>
      <w:pPr>
        <w:ind w:left="1134" w:hanging="283"/>
      </w:pPr>
      <w:rPr>
        <w:rFonts w:ascii="Arial" w:hAnsi="Arial" w:cs="Times New Roman" w:hint="default"/>
        <w:color w:val="97989A"/>
      </w:rPr>
    </w:lvl>
    <w:lvl w:ilvl="4">
      <w:start w:val="1"/>
      <w:numFmt w:val="bullet"/>
      <w:lvlText w:val="■"/>
      <w:lvlJc w:val="left"/>
      <w:pPr>
        <w:ind w:left="1701" w:hanging="281"/>
      </w:pPr>
      <w:rPr>
        <w:rFonts w:ascii="Arial" w:hAnsi="Arial" w:cs="Times New Roman" w:hint="default"/>
        <w:color w:val="97989A"/>
      </w:rPr>
    </w:lvl>
    <w:lvl w:ilvl="5">
      <w:start w:val="1"/>
      <w:numFmt w:val="bullet"/>
      <w:lvlText w:val="–"/>
      <w:lvlJc w:val="left"/>
      <w:pPr>
        <w:ind w:left="1985" w:hanging="284"/>
      </w:pPr>
      <w:rPr>
        <w:rFonts w:ascii="Arial" w:hAnsi="Arial" w:cs="Times New Roman" w:hint="default"/>
        <w:color w:val="97989A"/>
      </w:rPr>
    </w:lvl>
    <w:lvl w:ilvl="6">
      <w:start w:val="1"/>
      <w:numFmt w:val="bullet"/>
      <w:lvlText w:val="■"/>
      <w:lvlJc w:val="left"/>
      <w:pPr>
        <w:ind w:left="2268" w:hanging="283"/>
      </w:pPr>
      <w:rPr>
        <w:rFonts w:ascii="Arial" w:hAnsi="Arial" w:cs="Times New Roman" w:hint="default"/>
        <w:color w:val="97989A"/>
      </w:rPr>
    </w:lvl>
    <w:lvl w:ilvl="7">
      <w:start w:val="1"/>
      <w:numFmt w:val="bullet"/>
      <w:lvlText w:val="–"/>
      <w:lvlJc w:val="left"/>
      <w:pPr>
        <w:ind w:left="2552" w:hanging="284"/>
      </w:pPr>
      <w:rPr>
        <w:rFonts w:ascii="Arial" w:hAnsi="Arial" w:cs="Times New Roman" w:hint="default"/>
        <w:color w:val="97989A"/>
      </w:rPr>
    </w:lvl>
    <w:lvl w:ilvl="8">
      <w:start w:val="1"/>
      <w:numFmt w:val="bullet"/>
      <w:lvlText w:val="■"/>
      <w:lvlJc w:val="left"/>
      <w:pPr>
        <w:ind w:left="2835" w:hanging="283"/>
      </w:pPr>
      <w:rPr>
        <w:rFonts w:ascii="Arial" w:hAnsi="Arial" w:cs="Times New Roman" w:hint="default"/>
        <w:color w:val="97989A"/>
      </w:rPr>
    </w:lvl>
  </w:abstractNum>
  <w:abstractNum w:abstractNumId="3" w15:restartNumberingAfterBreak="0">
    <w:nsid w:val="4D893DAA"/>
    <w:multiLevelType w:val="hybridMultilevel"/>
    <w:tmpl w:val="BB30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7019E"/>
    <w:multiLevelType w:val="hybridMultilevel"/>
    <w:tmpl w:val="8FA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D6F49"/>
    <w:multiLevelType w:val="multilevel"/>
    <w:tmpl w:val="41B6471E"/>
    <w:lvl w:ilvl="0">
      <w:start w:val="1"/>
      <w:numFmt w:val="bullet"/>
      <w:pStyle w:val="Bullet"/>
      <w:lvlText w:val="■"/>
      <w:lvlJc w:val="left"/>
      <w:pPr>
        <w:ind w:left="284" w:hanging="284"/>
      </w:pPr>
      <w:rPr>
        <w:rFonts w:ascii="Arial" w:hAnsi="Arial" w:cs="Times New Roman" w:hint="default"/>
        <w:color w:val="97989A"/>
        <w:sz w:val="24"/>
      </w:rPr>
    </w:lvl>
    <w:lvl w:ilvl="1">
      <w:start w:val="1"/>
      <w:numFmt w:val="bullet"/>
      <w:lvlText w:val="–"/>
      <w:lvlJc w:val="left"/>
      <w:pPr>
        <w:ind w:left="567" w:hanging="283"/>
      </w:pPr>
      <w:rPr>
        <w:rFonts w:ascii="Arial" w:hAnsi="Arial" w:cs="Times New Roman" w:hint="default"/>
        <w:color w:val="97989A"/>
      </w:rPr>
    </w:lvl>
    <w:lvl w:ilvl="2">
      <w:start w:val="1"/>
      <w:numFmt w:val="bullet"/>
      <w:lvlRestart w:val="1"/>
      <w:lvlText w:val="■"/>
      <w:lvlJc w:val="left"/>
      <w:pPr>
        <w:tabs>
          <w:tab w:val="num" w:pos="851"/>
        </w:tabs>
        <w:ind w:left="851" w:hanging="284"/>
      </w:pPr>
      <w:rPr>
        <w:rFonts w:ascii="Arial" w:hAnsi="Arial" w:cs="Times New Roman" w:hint="default"/>
        <w:color w:val="97989A"/>
      </w:rPr>
    </w:lvl>
    <w:lvl w:ilvl="3">
      <w:start w:val="1"/>
      <w:numFmt w:val="bullet"/>
      <w:lvlText w:val="–"/>
      <w:lvlJc w:val="left"/>
      <w:pPr>
        <w:ind w:left="1134" w:hanging="283"/>
      </w:pPr>
      <w:rPr>
        <w:rFonts w:ascii="Arial" w:hAnsi="Arial" w:cs="Times New Roman" w:hint="default"/>
        <w:color w:val="97989A"/>
      </w:rPr>
    </w:lvl>
    <w:lvl w:ilvl="4">
      <w:start w:val="1"/>
      <w:numFmt w:val="bullet"/>
      <w:lvlText w:val="■"/>
      <w:lvlJc w:val="left"/>
      <w:pPr>
        <w:ind w:left="1701" w:hanging="281"/>
      </w:pPr>
      <w:rPr>
        <w:rFonts w:ascii="Arial" w:hAnsi="Arial" w:cs="Times New Roman" w:hint="default"/>
        <w:color w:val="97989A"/>
      </w:rPr>
    </w:lvl>
    <w:lvl w:ilvl="5">
      <w:start w:val="1"/>
      <w:numFmt w:val="bullet"/>
      <w:lvlText w:val="–"/>
      <w:lvlJc w:val="left"/>
      <w:pPr>
        <w:ind w:left="1985" w:hanging="284"/>
      </w:pPr>
      <w:rPr>
        <w:rFonts w:ascii="Arial" w:hAnsi="Arial" w:cs="Times New Roman" w:hint="default"/>
        <w:color w:val="97989A"/>
      </w:rPr>
    </w:lvl>
    <w:lvl w:ilvl="6">
      <w:start w:val="1"/>
      <w:numFmt w:val="bullet"/>
      <w:lvlText w:val="■"/>
      <w:lvlJc w:val="left"/>
      <w:pPr>
        <w:ind w:left="2268" w:hanging="283"/>
      </w:pPr>
      <w:rPr>
        <w:rFonts w:ascii="Arial" w:hAnsi="Arial" w:cs="Times New Roman" w:hint="default"/>
        <w:color w:val="97989A"/>
      </w:rPr>
    </w:lvl>
    <w:lvl w:ilvl="7">
      <w:start w:val="1"/>
      <w:numFmt w:val="bullet"/>
      <w:lvlText w:val="–"/>
      <w:lvlJc w:val="left"/>
      <w:pPr>
        <w:ind w:left="2552" w:hanging="284"/>
      </w:pPr>
      <w:rPr>
        <w:rFonts w:ascii="Arial" w:hAnsi="Arial" w:cs="Times New Roman" w:hint="default"/>
        <w:color w:val="97989A"/>
      </w:rPr>
    </w:lvl>
    <w:lvl w:ilvl="8">
      <w:start w:val="1"/>
      <w:numFmt w:val="bullet"/>
      <w:lvlText w:val="■"/>
      <w:lvlJc w:val="left"/>
      <w:pPr>
        <w:ind w:left="2835" w:hanging="283"/>
      </w:pPr>
      <w:rPr>
        <w:rFonts w:ascii="Arial" w:hAnsi="Arial" w:cs="Times New Roman" w:hint="default"/>
        <w:color w:val="97989A"/>
      </w:rPr>
    </w:lvl>
  </w:abstractNum>
  <w:abstractNum w:abstractNumId="6" w15:restartNumberingAfterBreak="0">
    <w:nsid w:val="6AB60818"/>
    <w:multiLevelType w:val="hybridMultilevel"/>
    <w:tmpl w:val="9C7A5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E627A55"/>
    <w:multiLevelType w:val="multilevel"/>
    <w:tmpl w:val="CBAE5E4C"/>
    <w:lvl w:ilvl="0">
      <w:start w:val="1"/>
      <w:numFmt w:val="bullet"/>
      <w:lvlText w:val=""/>
      <w:lvlJc w:val="left"/>
      <w:pPr>
        <w:ind w:left="284" w:hanging="284"/>
      </w:pPr>
      <w:rPr>
        <w:rFonts w:ascii="Symbol" w:hAnsi="Symbol" w:hint="default"/>
        <w:color w:val="97989A"/>
        <w:sz w:val="24"/>
      </w:rPr>
    </w:lvl>
    <w:lvl w:ilvl="1">
      <w:start w:val="1"/>
      <w:numFmt w:val="bullet"/>
      <w:lvlText w:val="–"/>
      <w:lvlJc w:val="left"/>
      <w:pPr>
        <w:ind w:left="567" w:hanging="283"/>
      </w:pPr>
      <w:rPr>
        <w:rFonts w:ascii="Arial" w:hAnsi="Arial" w:cs="Times New Roman" w:hint="default"/>
        <w:color w:val="97989A"/>
      </w:rPr>
    </w:lvl>
    <w:lvl w:ilvl="2">
      <w:start w:val="1"/>
      <w:numFmt w:val="bullet"/>
      <w:lvlRestart w:val="1"/>
      <w:lvlText w:val="■"/>
      <w:lvlJc w:val="left"/>
      <w:pPr>
        <w:tabs>
          <w:tab w:val="num" w:pos="851"/>
        </w:tabs>
        <w:ind w:left="851" w:hanging="284"/>
      </w:pPr>
      <w:rPr>
        <w:rFonts w:ascii="Arial" w:hAnsi="Arial" w:cs="Times New Roman" w:hint="default"/>
        <w:color w:val="97989A"/>
      </w:rPr>
    </w:lvl>
    <w:lvl w:ilvl="3">
      <w:start w:val="1"/>
      <w:numFmt w:val="bullet"/>
      <w:lvlText w:val="–"/>
      <w:lvlJc w:val="left"/>
      <w:pPr>
        <w:ind w:left="1134" w:hanging="283"/>
      </w:pPr>
      <w:rPr>
        <w:rFonts w:ascii="Arial" w:hAnsi="Arial" w:cs="Times New Roman" w:hint="default"/>
        <w:color w:val="97989A"/>
      </w:rPr>
    </w:lvl>
    <w:lvl w:ilvl="4">
      <w:start w:val="1"/>
      <w:numFmt w:val="bullet"/>
      <w:lvlText w:val="■"/>
      <w:lvlJc w:val="left"/>
      <w:pPr>
        <w:ind w:left="1701" w:hanging="281"/>
      </w:pPr>
      <w:rPr>
        <w:rFonts w:ascii="Arial" w:hAnsi="Arial" w:cs="Times New Roman" w:hint="default"/>
        <w:color w:val="97989A"/>
      </w:rPr>
    </w:lvl>
    <w:lvl w:ilvl="5">
      <w:start w:val="1"/>
      <w:numFmt w:val="bullet"/>
      <w:lvlText w:val="–"/>
      <w:lvlJc w:val="left"/>
      <w:pPr>
        <w:ind w:left="1985" w:hanging="284"/>
      </w:pPr>
      <w:rPr>
        <w:rFonts w:ascii="Arial" w:hAnsi="Arial" w:cs="Times New Roman" w:hint="default"/>
        <w:color w:val="97989A"/>
      </w:rPr>
    </w:lvl>
    <w:lvl w:ilvl="6">
      <w:start w:val="1"/>
      <w:numFmt w:val="bullet"/>
      <w:lvlText w:val="■"/>
      <w:lvlJc w:val="left"/>
      <w:pPr>
        <w:ind w:left="2268" w:hanging="283"/>
      </w:pPr>
      <w:rPr>
        <w:rFonts w:ascii="Arial" w:hAnsi="Arial" w:cs="Times New Roman" w:hint="default"/>
        <w:color w:val="97989A"/>
      </w:rPr>
    </w:lvl>
    <w:lvl w:ilvl="7">
      <w:start w:val="1"/>
      <w:numFmt w:val="bullet"/>
      <w:lvlText w:val="–"/>
      <w:lvlJc w:val="left"/>
      <w:pPr>
        <w:ind w:left="2552" w:hanging="284"/>
      </w:pPr>
      <w:rPr>
        <w:rFonts w:ascii="Arial" w:hAnsi="Arial" w:cs="Times New Roman" w:hint="default"/>
        <w:color w:val="97989A"/>
      </w:rPr>
    </w:lvl>
    <w:lvl w:ilvl="8">
      <w:start w:val="1"/>
      <w:numFmt w:val="bullet"/>
      <w:lvlText w:val="■"/>
      <w:lvlJc w:val="left"/>
      <w:pPr>
        <w:ind w:left="2835" w:hanging="283"/>
      </w:pPr>
      <w:rPr>
        <w:rFonts w:ascii="Arial" w:hAnsi="Arial" w:cs="Times New Roman" w:hint="default"/>
        <w:color w:val="97989A"/>
      </w:rPr>
    </w:lvl>
  </w:abstractNum>
  <w:abstractNum w:abstractNumId="8" w15:restartNumberingAfterBreak="0">
    <w:nsid w:val="7A752273"/>
    <w:multiLevelType w:val="hybridMultilevel"/>
    <w:tmpl w:val="946C6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09"/>
    <w:rsid w:val="000209E6"/>
    <w:rsid w:val="00106A05"/>
    <w:rsid w:val="00145B6B"/>
    <w:rsid w:val="001A0CEE"/>
    <w:rsid w:val="0022216B"/>
    <w:rsid w:val="002839F3"/>
    <w:rsid w:val="002A0D28"/>
    <w:rsid w:val="002D6B09"/>
    <w:rsid w:val="002F7D09"/>
    <w:rsid w:val="003405F2"/>
    <w:rsid w:val="00373B5B"/>
    <w:rsid w:val="003B5C2C"/>
    <w:rsid w:val="003D689D"/>
    <w:rsid w:val="00497C1F"/>
    <w:rsid w:val="004B0863"/>
    <w:rsid w:val="0053081C"/>
    <w:rsid w:val="00574D0C"/>
    <w:rsid w:val="005F7943"/>
    <w:rsid w:val="006044D3"/>
    <w:rsid w:val="00674160"/>
    <w:rsid w:val="006E57E3"/>
    <w:rsid w:val="006F50BE"/>
    <w:rsid w:val="007B7F1D"/>
    <w:rsid w:val="007C1049"/>
    <w:rsid w:val="007E116A"/>
    <w:rsid w:val="007F4874"/>
    <w:rsid w:val="007F7D8E"/>
    <w:rsid w:val="00831FCE"/>
    <w:rsid w:val="008344F1"/>
    <w:rsid w:val="00836858"/>
    <w:rsid w:val="00856392"/>
    <w:rsid w:val="00914A13"/>
    <w:rsid w:val="009B72B1"/>
    <w:rsid w:val="00A456FC"/>
    <w:rsid w:val="00A62B56"/>
    <w:rsid w:val="00AC498A"/>
    <w:rsid w:val="00AE6186"/>
    <w:rsid w:val="00BA0C60"/>
    <w:rsid w:val="00C0074D"/>
    <w:rsid w:val="00CB5693"/>
    <w:rsid w:val="00CE5EBC"/>
    <w:rsid w:val="00CF0BDE"/>
    <w:rsid w:val="00D87648"/>
    <w:rsid w:val="00DA729D"/>
    <w:rsid w:val="00DF29F4"/>
    <w:rsid w:val="00E90FEB"/>
    <w:rsid w:val="00EF1D83"/>
    <w:rsid w:val="00F108E3"/>
    <w:rsid w:val="00F10E47"/>
    <w:rsid w:val="00FA5277"/>
    <w:rsid w:val="00FB0D7B"/>
    <w:rsid w:val="00FC5126"/>
    <w:rsid w:val="00FE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82A72"/>
  <w15:chartTrackingRefBased/>
  <w15:docId w15:val="{5EEAFE5E-997F-41B2-84B4-47740435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D09"/>
    <w:pPr>
      <w:overflowPunct w:val="0"/>
      <w:autoSpaceDE w:val="0"/>
      <w:autoSpaceDN w:val="0"/>
      <w:adjustRightInd w:val="0"/>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F7D09"/>
    <w:rPr>
      <w:sz w:val="20"/>
    </w:rPr>
  </w:style>
  <w:style w:type="character" w:customStyle="1" w:styleId="CommentTextChar">
    <w:name w:val="Comment Text Char"/>
    <w:basedOn w:val="DefaultParagraphFont"/>
    <w:link w:val="CommentText"/>
    <w:semiHidden/>
    <w:rsid w:val="002F7D09"/>
    <w:rPr>
      <w:rFonts w:ascii="Arial" w:eastAsia="Times New Roman" w:hAnsi="Arial" w:cs="Arial"/>
      <w:sz w:val="20"/>
      <w:szCs w:val="20"/>
    </w:rPr>
  </w:style>
  <w:style w:type="paragraph" w:customStyle="1" w:styleId="Bullet">
    <w:name w:val="Bullet"/>
    <w:basedOn w:val="Normal"/>
    <w:uiPriority w:val="1"/>
    <w:qFormat/>
    <w:rsid w:val="002F7D09"/>
    <w:pPr>
      <w:numPr>
        <w:numId w:val="1"/>
      </w:numPr>
      <w:overflowPunct/>
      <w:autoSpaceDE/>
      <w:autoSpaceDN/>
      <w:adjustRightInd/>
      <w:spacing w:after="130"/>
    </w:pPr>
    <w:rPr>
      <w:rFonts w:eastAsiaTheme="minorHAnsi"/>
      <w:szCs w:val="22"/>
    </w:rPr>
  </w:style>
  <w:style w:type="paragraph" w:customStyle="1" w:styleId="Text">
    <w:name w:val="Text"/>
    <w:basedOn w:val="Normal"/>
    <w:qFormat/>
    <w:rsid w:val="002F7D09"/>
    <w:pPr>
      <w:spacing w:after="260"/>
    </w:pPr>
  </w:style>
  <w:style w:type="character" w:styleId="CommentReference">
    <w:name w:val="annotation reference"/>
    <w:basedOn w:val="DefaultParagraphFont"/>
    <w:semiHidden/>
    <w:unhideWhenUsed/>
    <w:rsid w:val="002F7D09"/>
    <w:rPr>
      <w:sz w:val="16"/>
    </w:rPr>
  </w:style>
  <w:style w:type="paragraph" w:styleId="BalloonText">
    <w:name w:val="Balloon Text"/>
    <w:basedOn w:val="Normal"/>
    <w:link w:val="BalloonTextChar"/>
    <w:uiPriority w:val="99"/>
    <w:semiHidden/>
    <w:unhideWhenUsed/>
    <w:rsid w:val="002F7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09"/>
    <w:rPr>
      <w:rFonts w:ascii="Segoe UI" w:eastAsia="Times New Roman" w:hAnsi="Segoe UI" w:cs="Segoe UI"/>
      <w:sz w:val="18"/>
      <w:szCs w:val="18"/>
    </w:rPr>
  </w:style>
  <w:style w:type="paragraph" w:styleId="ListParagraph">
    <w:name w:val="List Paragraph"/>
    <w:basedOn w:val="Normal"/>
    <w:uiPriority w:val="34"/>
    <w:qFormat/>
    <w:rsid w:val="00497C1F"/>
    <w:pPr>
      <w:overflowPunct/>
      <w:autoSpaceDE/>
      <w:autoSpaceDN/>
      <w:adjustRightInd/>
      <w:spacing w:after="200" w:line="276" w:lineRule="auto"/>
      <w:ind w:left="720"/>
    </w:pPr>
    <w:rPr>
      <w:rFonts w:ascii="Calibri" w:eastAsia="Calibri" w:hAnsi="Calibri" w:cs="Times New Roman"/>
      <w:szCs w:val="22"/>
      <w:lang w:val="en-IE"/>
    </w:rPr>
  </w:style>
  <w:style w:type="paragraph" w:styleId="Header">
    <w:name w:val="header"/>
    <w:basedOn w:val="Normal"/>
    <w:link w:val="HeaderChar"/>
    <w:uiPriority w:val="99"/>
    <w:unhideWhenUsed/>
    <w:rsid w:val="000209E6"/>
    <w:pPr>
      <w:tabs>
        <w:tab w:val="center" w:pos="4513"/>
        <w:tab w:val="right" w:pos="9026"/>
      </w:tabs>
    </w:pPr>
  </w:style>
  <w:style w:type="character" w:customStyle="1" w:styleId="HeaderChar">
    <w:name w:val="Header Char"/>
    <w:basedOn w:val="DefaultParagraphFont"/>
    <w:link w:val="Header"/>
    <w:uiPriority w:val="99"/>
    <w:rsid w:val="000209E6"/>
    <w:rPr>
      <w:rFonts w:ascii="Arial" w:eastAsia="Times New Roman" w:hAnsi="Arial" w:cs="Arial"/>
      <w:szCs w:val="20"/>
    </w:rPr>
  </w:style>
  <w:style w:type="paragraph" w:styleId="Footer">
    <w:name w:val="footer"/>
    <w:basedOn w:val="Normal"/>
    <w:link w:val="FooterChar"/>
    <w:uiPriority w:val="99"/>
    <w:unhideWhenUsed/>
    <w:rsid w:val="000209E6"/>
    <w:pPr>
      <w:tabs>
        <w:tab w:val="center" w:pos="4513"/>
        <w:tab w:val="right" w:pos="9026"/>
      </w:tabs>
    </w:pPr>
  </w:style>
  <w:style w:type="character" w:customStyle="1" w:styleId="FooterChar">
    <w:name w:val="Footer Char"/>
    <w:basedOn w:val="DefaultParagraphFont"/>
    <w:link w:val="Footer"/>
    <w:uiPriority w:val="99"/>
    <w:rsid w:val="000209E6"/>
    <w:rPr>
      <w:rFonts w:ascii="Arial" w:eastAsia="Times New Roman" w:hAnsi="Arial" w:cs="Arial"/>
      <w:szCs w:val="20"/>
    </w:rPr>
  </w:style>
  <w:style w:type="paragraph" w:styleId="Revision">
    <w:name w:val="Revision"/>
    <w:hidden/>
    <w:uiPriority w:val="99"/>
    <w:semiHidden/>
    <w:rsid w:val="00914A13"/>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838</Words>
  <Characters>4489</Characters>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